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Publico Text Roman" w:cs="Publico Text Roman" w:hAnsi="Publico Text Roman" w:eastAsia="Publico Text Roman"/>
          <w:sz w:val="22"/>
          <w:szCs w:val="22"/>
        </w:rPr>
      </w:pPr>
      <w:r>
        <w:rPr>
          <w:rFonts w:ascii="Publico Text Roman" w:hAnsi="Publico Text Roman"/>
          <w:sz w:val="22"/>
          <w:szCs w:val="22"/>
          <w:rtl w:val="0"/>
          <w:lang w:val="en-US"/>
        </w:rPr>
        <w:t>The program for this season</w:t>
      </w:r>
      <w:r>
        <w:rPr>
          <w:rFonts w:ascii="Publico Text Roman" w:hAnsi="Publico Text Roman" w:hint="default"/>
          <w:sz w:val="22"/>
          <w:szCs w:val="22"/>
          <w:rtl w:val="0"/>
          <w:lang w:val="en-US"/>
        </w:rPr>
        <w:t>’</w:t>
      </w:r>
      <w:r>
        <w:rPr>
          <w:rFonts w:ascii="Publico Text Roman" w:hAnsi="Publico Text Roman"/>
          <w:sz w:val="22"/>
          <w:szCs w:val="22"/>
          <w:rtl w:val="0"/>
          <w:lang w:val="en-US"/>
        </w:rPr>
        <w:t xml:space="preserve">s fall concert is particularly challenging. Consistent and intentional practice outside of rehearsal by each member will help us to learn this music properly and reduce the amount of stress during Concert Week. </w:t>
      </w:r>
    </w:p>
    <w:p>
      <w:pPr>
        <w:pStyle w:val="Body"/>
        <w:rPr>
          <w:rFonts w:ascii="Publico Text Roman" w:cs="Publico Text Roman" w:hAnsi="Publico Text Roman" w:eastAsia="Publico Text Roman"/>
          <w:sz w:val="22"/>
          <w:szCs w:val="22"/>
        </w:rPr>
      </w:pPr>
    </w:p>
    <w:p>
      <w:pPr>
        <w:pStyle w:val="Body"/>
        <w:rPr>
          <w:rFonts w:ascii="Publico Text Roman" w:cs="Publico Text Roman" w:hAnsi="Publico Text Roman" w:eastAsia="Publico Text Roman"/>
          <w:sz w:val="22"/>
          <w:szCs w:val="22"/>
        </w:rPr>
      </w:pPr>
      <w:r>
        <w:rPr>
          <w:rFonts w:ascii="Publico Text Roman" w:hAnsi="Publico Text Roman"/>
          <w:sz w:val="22"/>
          <w:szCs w:val="22"/>
          <w:rtl w:val="0"/>
          <w:lang w:val="en-US"/>
        </w:rPr>
        <w:t xml:space="preserve">Below, I have assigned brief passages to be learned prior to the first six rehearsals (excluding the first rehearsal). If we follow the schedule below, we will have all the notes and rhythms learned by the seventh rehearsal on October 2, at which point we will do a </w:t>
      </w:r>
      <w:r>
        <w:rPr>
          <w:rFonts w:ascii="Publico Text Roman" w:hAnsi="Publico Text Roman" w:hint="default"/>
          <w:sz w:val="22"/>
          <w:szCs w:val="22"/>
          <w:rtl w:val="0"/>
          <w:lang w:val="en-US"/>
        </w:rPr>
        <w:t>“</w:t>
      </w:r>
      <w:r>
        <w:rPr>
          <w:rFonts w:ascii="Publico Text Roman" w:hAnsi="Publico Text Roman"/>
          <w:sz w:val="22"/>
          <w:szCs w:val="22"/>
          <w:rtl w:val="0"/>
          <w:lang w:val="en-US"/>
        </w:rPr>
        <w:t>midterm progress check.</w:t>
      </w:r>
      <w:r>
        <w:rPr>
          <w:rFonts w:ascii="Publico Text Roman" w:hAnsi="Publico Text Roman" w:hint="default"/>
          <w:sz w:val="22"/>
          <w:szCs w:val="22"/>
          <w:rtl w:val="0"/>
          <w:lang w:val="en-US"/>
        </w:rPr>
        <w:t xml:space="preserve">” </w:t>
      </w:r>
      <w:r>
        <w:rPr>
          <w:rFonts w:ascii="Publico Text Roman" w:hAnsi="Publico Text Roman"/>
          <w:sz w:val="22"/>
          <w:szCs w:val="22"/>
          <w:rtl w:val="0"/>
          <w:lang w:val="en-US"/>
        </w:rPr>
        <w:t>We will then use the remaining rehearsals to polish the program prior to the performances on October 28 and 29.</w:t>
      </w:r>
    </w:p>
    <w:p>
      <w:pPr>
        <w:pStyle w:val="Body"/>
        <w:rPr>
          <w:rFonts w:ascii="Publico Text Roman" w:cs="Publico Text Roman" w:hAnsi="Publico Text Roman" w:eastAsia="Publico Text Roman"/>
          <w:sz w:val="22"/>
          <w:szCs w:val="22"/>
        </w:rPr>
      </w:pPr>
    </w:p>
    <w:p>
      <w:pPr>
        <w:pStyle w:val="Body"/>
        <w:rPr>
          <w:rFonts w:ascii="Publico Text Roman" w:cs="Publico Text Roman" w:hAnsi="Publico Text Roman" w:eastAsia="Publico Text Roman"/>
          <w:sz w:val="22"/>
          <w:szCs w:val="22"/>
        </w:rPr>
      </w:pPr>
      <w:r>
        <w:rPr>
          <w:rFonts w:ascii="Publico Text Roman" w:hAnsi="Publico Text Roman"/>
          <w:sz w:val="22"/>
          <w:szCs w:val="22"/>
          <w:rtl w:val="0"/>
          <w:lang w:val="en-US"/>
        </w:rPr>
        <w:t xml:space="preserve">The following assignments should not be considered the only sections to practice each week and are not inclusive of everything that we will go over in each rehearsal. Members are expected to learn these passages </w:t>
      </w:r>
      <w:r>
        <w:rPr>
          <w:rFonts w:ascii="Publico Text Roman" w:hAnsi="Publico Text Roman"/>
          <w:sz w:val="22"/>
          <w:szCs w:val="22"/>
          <w:u w:val="single"/>
          <w:rtl w:val="0"/>
          <w:lang w:val="en-US"/>
        </w:rPr>
        <w:t>in addition to</w:t>
      </w:r>
      <w:r>
        <w:rPr>
          <w:rFonts w:ascii="Publico Text Roman" w:hAnsi="Publico Text Roman"/>
          <w:sz w:val="22"/>
          <w:szCs w:val="22"/>
          <w:rtl w:val="0"/>
          <w:lang w:val="en-US"/>
        </w:rPr>
        <w:t xml:space="preserve"> practicing other sections.</w:t>
      </w:r>
    </w:p>
    <w:p>
      <w:pPr>
        <w:pStyle w:val="Body"/>
        <w:rPr>
          <w:rFonts w:ascii="Publico Text Roman" w:cs="Publico Text Roman" w:hAnsi="Publico Text Roman" w:eastAsia="Publico Text Roman"/>
          <w:sz w:val="22"/>
          <w:szCs w:val="22"/>
        </w:rPr>
      </w:pPr>
    </w:p>
    <w:p>
      <w:pPr>
        <w:pStyle w:val="Body"/>
        <w:rPr>
          <w:rFonts w:ascii="Publico Text Roman" w:cs="Publico Text Roman" w:hAnsi="Publico Text Roman" w:eastAsia="Publico Text Roman"/>
          <w:sz w:val="22"/>
          <w:szCs w:val="22"/>
        </w:rPr>
      </w:pPr>
      <w:r>
        <w:rPr>
          <w:rFonts w:ascii="Publico Text Roman" w:hAnsi="Publico Text Roman"/>
          <w:sz w:val="22"/>
          <w:szCs w:val="22"/>
          <w:rtl w:val="0"/>
          <w:lang w:val="en-US"/>
        </w:rPr>
        <w:t xml:space="preserve">CyberBass has learning tracks for the Handel </w:t>
      </w:r>
      <w:r>
        <w:rPr>
          <w:rStyle w:val="Hyperlink.0"/>
          <w:rFonts w:ascii="Publico Text Roman" w:cs="Publico Text Roman" w:hAnsi="Publico Text Roman" w:eastAsia="Publico Text Roman"/>
          <w:sz w:val="22"/>
          <w:szCs w:val="22"/>
        </w:rPr>
        <w:fldChar w:fldCharType="begin" w:fldLock="0"/>
      </w:r>
      <w:r>
        <w:rPr>
          <w:rStyle w:val="Hyperlink.0"/>
          <w:rFonts w:ascii="Publico Text Roman" w:cs="Publico Text Roman" w:hAnsi="Publico Text Roman" w:eastAsia="Publico Text Roman"/>
          <w:sz w:val="22"/>
          <w:szCs w:val="22"/>
        </w:rPr>
        <w:instrText xml:space="preserve"> HYPERLINK "http://www.cyberbass.com/Major_Works/Handel_GF/handel_dixit_dominus.htm"</w:instrText>
      </w:r>
      <w:r>
        <w:rPr>
          <w:rStyle w:val="Hyperlink.0"/>
          <w:rFonts w:ascii="Publico Text Roman" w:cs="Publico Text Roman" w:hAnsi="Publico Text Roman" w:eastAsia="Publico Text Roman"/>
          <w:sz w:val="22"/>
          <w:szCs w:val="22"/>
        </w:rPr>
        <w:fldChar w:fldCharType="separate" w:fldLock="0"/>
      </w:r>
      <w:r>
        <w:rPr>
          <w:rStyle w:val="Hyperlink.0"/>
          <w:rFonts w:ascii="Publico Text Roman" w:hAnsi="Publico Text Roman"/>
          <w:sz w:val="22"/>
          <w:szCs w:val="22"/>
          <w:rtl w:val="0"/>
          <w:lang w:val="en-US"/>
        </w:rPr>
        <w:t>Dixit Dominus</w:t>
      </w:r>
      <w:r>
        <w:rPr>
          <w:rFonts w:ascii="Publico Text Roman" w:cs="Publico Text Roman" w:hAnsi="Publico Text Roman" w:eastAsia="Publico Text Roman"/>
          <w:sz w:val="22"/>
          <w:szCs w:val="22"/>
        </w:rPr>
        <w:fldChar w:fldCharType="end" w:fldLock="0"/>
      </w:r>
      <w:r>
        <w:rPr>
          <w:rFonts w:ascii="Publico Text Roman" w:hAnsi="Publico Text Roman"/>
          <w:sz w:val="22"/>
          <w:szCs w:val="22"/>
          <w:rtl w:val="0"/>
          <w:lang w:val="en-US"/>
        </w:rPr>
        <w:t xml:space="preserve"> and Bach </w:t>
      </w:r>
      <w:r>
        <w:rPr>
          <w:rStyle w:val="Hyperlink.0"/>
          <w:rFonts w:ascii="Publico Text Roman" w:cs="Publico Text Roman" w:hAnsi="Publico Text Roman" w:eastAsia="Publico Text Roman"/>
          <w:sz w:val="22"/>
          <w:szCs w:val="22"/>
        </w:rPr>
        <w:fldChar w:fldCharType="begin" w:fldLock="0"/>
      </w:r>
      <w:r>
        <w:rPr>
          <w:rStyle w:val="Hyperlink.0"/>
          <w:rFonts w:ascii="Publico Text Roman" w:cs="Publico Text Roman" w:hAnsi="Publico Text Roman" w:eastAsia="Publico Text Roman"/>
          <w:sz w:val="22"/>
          <w:szCs w:val="22"/>
        </w:rPr>
        <w:instrText xml:space="preserve"> HYPERLINK "http://www.cyberbass.com/Major_Works/Bach_J_S/bach_js_magnigficat.htm"</w:instrText>
      </w:r>
      <w:r>
        <w:rPr>
          <w:rStyle w:val="Hyperlink.0"/>
          <w:rFonts w:ascii="Publico Text Roman" w:cs="Publico Text Roman" w:hAnsi="Publico Text Roman" w:eastAsia="Publico Text Roman"/>
          <w:sz w:val="22"/>
          <w:szCs w:val="22"/>
        </w:rPr>
        <w:fldChar w:fldCharType="separate" w:fldLock="0"/>
      </w:r>
      <w:r>
        <w:rPr>
          <w:rStyle w:val="Hyperlink.0"/>
          <w:rFonts w:ascii="Publico Text Roman" w:hAnsi="Publico Text Roman"/>
          <w:sz w:val="22"/>
          <w:szCs w:val="22"/>
          <w:rtl w:val="0"/>
          <w:lang w:val="en-US"/>
        </w:rPr>
        <w:t>Magnificat</w:t>
      </w:r>
      <w:r>
        <w:rPr>
          <w:rFonts w:ascii="Publico Text Roman" w:cs="Publico Text Roman" w:hAnsi="Publico Text Roman" w:eastAsia="Publico Text Roman"/>
          <w:sz w:val="22"/>
          <w:szCs w:val="22"/>
        </w:rPr>
        <w:fldChar w:fldCharType="end" w:fldLock="0"/>
      </w:r>
      <w:r>
        <w:rPr>
          <w:rFonts w:ascii="Publico Text Roman" w:hAnsi="Publico Text Roman"/>
          <w:sz w:val="22"/>
          <w:szCs w:val="22"/>
          <w:rtl w:val="0"/>
          <w:lang w:val="en-US"/>
        </w:rPr>
        <w:t>.</w:t>
      </w:r>
    </w:p>
    <w:p>
      <w:pPr>
        <w:pStyle w:val="Body"/>
        <w:rPr>
          <w:rFonts w:ascii="Publico Text Roman" w:cs="Publico Text Roman" w:hAnsi="Publico Text Roman" w:eastAsia="Publico Text Roman"/>
          <w:sz w:val="22"/>
          <w:szCs w:val="22"/>
        </w:rPr>
      </w:pPr>
    </w:p>
    <w:p>
      <w:pPr>
        <w:pStyle w:val="Body"/>
        <w:rPr>
          <w:rFonts w:ascii="Publico Text Roman" w:cs="Publico Text Roman" w:hAnsi="Publico Text Roman" w:eastAsia="Publico Text Roman"/>
          <w:b w:val="1"/>
          <w:bCs w:val="1"/>
          <w:sz w:val="22"/>
          <w:szCs w:val="22"/>
          <w:u w:val="single"/>
        </w:rPr>
      </w:pPr>
      <w:r>
        <w:rPr>
          <w:rFonts w:ascii="Publico Text Roman" w:hAnsi="Publico Text Roman"/>
          <w:b w:val="1"/>
          <w:bCs w:val="1"/>
          <w:sz w:val="22"/>
          <w:szCs w:val="22"/>
          <w:u w:val="single"/>
          <w:rtl w:val="0"/>
          <w:lang w:val="en-US"/>
        </w:rPr>
        <w:t>Prior to the August 28 rehearsal:</w:t>
      </w: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Dixit Dominus</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Dixit Dominus: learn p. 2, mm. 18-29</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Tu es sacerdos in aeternum: learn p. 36, mm. 1-8</w:t>
      </w:r>
    </w:p>
    <w:p>
      <w:pPr>
        <w:pStyle w:val="Table Style 2"/>
        <w:numPr>
          <w:ilvl w:val="0"/>
          <w:numId w:val="1"/>
        </w:numPr>
        <w:rPr>
          <w:rFonts w:ascii="Publico Text Roman" w:hAnsi="Publico Text Roman"/>
          <w:sz w:val="22"/>
          <w:szCs w:val="22"/>
          <w:lang w:val="it-IT"/>
        </w:rPr>
      </w:pPr>
      <w:r>
        <w:rPr>
          <w:rFonts w:ascii="Publico Text Roman" w:hAnsi="Publico Text Roman"/>
          <w:sz w:val="22"/>
          <w:szCs w:val="22"/>
          <w:rtl w:val="0"/>
          <w:lang w:val="it-IT"/>
        </w:rPr>
        <w:t>Judicabit in nationibus</w:t>
      </w:r>
      <w:r>
        <w:rPr>
          <w:rFonts w:ascii="Publico Text Roman" w:hAnsi="Publico Text Roman"/>
          <w:sz w:val="22"/>
          <w:szCs w:val="22"/>
          <w:rtl w:val="0"/>
          <w:lang w:val="en-US"/>
        </w:rPr>
        <w:t>: learn p. 53, mm. 1-17</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Gloria Patri, et Filio: learn p. 69, mm. 1-41</w:t>
      </w:r>
    </w:p>
    <w:p>
      <w:pPr>
        <w:pStyle w:val="Table Style 2"/>
        <w:rPr>
          <w:rFonts w:ascii="Publico Text Roman" w:cs="Publico Text Roman" w:hAnsi="Publico Text Roman" w:eastAsia="Publico Text Roman"/>
          <w:b w:val="1"/>
          <w:bCs w:val="1"/>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Beatus vir</w:t>
      </w:r>
    </w:p>
    <w:p>
      <w:pPr>
        <w:pStyle w:val="Table Style 2"/>
        <w:numPr>
          <w:ilvl w:val="0"/>
          <w:numId w:val="3"/>
        </w:numPr>
        <w:rPr>
          <w:rFonts w:ascii="Publico Text Roman" w:hAnsi="Publico Text Roman"/>
          <w:sz w:val="22"/>
          <w:szCs w:val="22"/>
          <w:lang w:val="en-US"/>
        </w:rPr>
      </w:pPr>
      <w:r>
        <w:rPr>
          <w:rFonts w:ascii="Publico Text Roman" w:hAnsi="Publico Text Roman"/>
          <w:sz w:val="22"/>
          <w:szCs w:val="22"/>
          <w:rtl w:val="0"/>
          <w:lang w:val="en-US"/>
        </w:rPr>
        <w:t>learn p. 4, mm. 97-120</w:t>
      </w:r>
    </w:p>
    <w:p>
      <w:pPr>
        <w:pStyle w:val="Table Style 2"/>
        <w:rPr>
          <w:rFonts w:ascii="Publico Text Roman" w:cs="Publico Text Roman" w:hAnsi="Publico Text Roman" w:eastAsia="Publico Text Roman"/>
          <w:b w:val="1"/>
          <w:bCs w:val="1"/>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Magnificat</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Magnificat: learn p. 5, mm. 31-51</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Omnes generationes: learn p. 18, mm. 1-9</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Fecit potentiam: learn p. 29, mm. 1-12</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Sicut locutus est: learn p. 43, mm. 1-20</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Gloria Patri: learn p. 48, mm. 1-19</w:t>
      </w: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b w:val="1"/>
          <w:bCs w:val="1"/>
          <w:sz w:val="22"/>
          <w:szCs w:val="22"/>
          <w:u w:val="single"/>
        </w:rPr>
      </w:pPr>
      <w:r>
        <w:rPr>
          <w:rFonts w:ascii="Publico Text Roman" w:hAnsi="Publico Text Roman"/>
          <w:b w:val="1"/>
          <w:bCs w:val="1"/>
          <w:sz w:val="22"/>
          <w:szCs w:val="22"/>
          <w:u w:val="single"/>
          <w:rtl w:val="0"/>
          <w:lang w:val="en-US"/>
        </w:rPr>
        <w:t>Prior to the September 5 rehearsal:</w:t>
      </w: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Dixit Dominus</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Dixit Dominus: learn p. 5, mm. 38-47</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Tu es sacerdos in aeternum: learn p. 38, mm. 8-23</w:t>
      </w:r>
    </w:p>
    <w:p>
      <w:pPr>
        <w:pStyle w:val="Table Style 2"/>
        <w:numPr>
          <w:ilvl w:val="0"/>
          <w:numId w:val="1"/>
        </w:numPr>
        <w:rPr>
          <w:rFonts w:ascii="Publico Text Roman" w:hAnsi="Publico Text Roman"/>
          <w:sz w:val="22"/>
          <w:szCs w:val="22"/>
          <w:lang w:val="it-IT"/>
        </w:rPr>
      </w:pPr>
      <w:r>
        <w:rPr>
          <w:rFonts w:ascii="Publico Text Roman" w:hAnsi="Publico Text Roman"/>
          <w:sz w:val="22"/>
          <w:szCs w:val="22"/>
          <w:rtl w:val="0"/>
          <w:lang w:val="it-IT"/>
        </w:rPr>
        <w:t>Judicabit in nationibus</w:t>
      </w:r>
      <w:r>
        <w:rPr>
          <w:rFonts w:ascii="Publico Text Roman" w:hAnsi="Publico Text Roman"/>
          <w:sz w:val="22"/>
          <w:szCs w:val="22"/>
          <w:rtl w:val="0"/>
          <w:lang w:val="en-US"/>
        </w:rPr>
        <w:t>: learn p. 55, mm. 25-43</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Gloria Patri, et Filio: learn p. 75, mm. 41-81</w:t>
      </w: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Beatus vir</w:t>
      </w:r>
    </w:p>
    <w:p>
      <w:pPr>
        <w:pStyle w:val="Table Style 2"/>
        <w:numPr>
          <w:ilvl w:val="0"/>
          <w:numId w:val="3"/>
        </w:numPr>
        <w:rPr>
          <w:rFonts w:ascii="Publico Text Roman" w:hAnsi="Publico Text Roman"/>
          <w:sz w:val="22"/>
          <w:szCs w:val="22"/>
          <w:lang w:val="en-US"/>
        </w:rPr>
      </w:pPr>
      <w:r>
        <w:rPr>
          <w:rFonts w:ascii="Publico Text Roman" w:hAnsi="Publico Text Roman"/>
          <w:sz w:val="22"/>
          <w:szCs w:val="22"/>
          <w:rtl w:val="0"/>
          <w:lang w:val="en-US"/>
        </w:rPr>
        <w:t>learn p. 8, mm. 222-242</w:t>
      </w:r>
    </w:p>
    <w:p>
      <w:pPr>
        <w:pStyle w:val="Table Style 2"/>
        <w:rPr>
          <w:rFonts w:ascii="Publico Text Roman" w:cs="Publico Text Roman" w:hAnsi="Publico Text Roman" w:eastAsia="Publico Text Roman"/>
          <w:b w:val="1"/>
          <w:bCs w:val="1"/>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Magnificat</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Magnificat: learn p. 8, mm. 52-75</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Omnes generationes: learn p. 20, mm. 10-20</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Fecit potentiam: learn p. 31, mm. 13-21</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Sicut locutus est: learn p. 44, mm. 21-37</w:t>
      </w: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b w:val="1"/>
          <w:bCs w:val="1"/>
          <w:sz w:val="22"/>
          <w:szCs w:val="22"/>
          <w:u w:val="single"/>
        </w:rPr>
      </w:pPr>
      <w:r>
        <w:rPr>
          <w:rFonts w:ascii="Publico Text Roman" w:hAnsi="Publico Text Roman"/>
          <w:b w:val="1"/>
          <w:bCs w:val="1"/>
          <w:sz w:val="22"/>
          <w:szCs w:val="22"/>
          <w:u w:val="single"/>
          <w:rtl w:val="0"/>
          <w:lang w:val="en-US"/>
        </w:rPr>
        <w:t xml:space="preserve">Prior to the September 11 rehearsal: </w:t>
      </w: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Dixit Dominus</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Dixit Dominus: learn p. 7, mm. 52-88</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Tu es sacerdos in aeternum: learn p. 41, m. 23-end</w:t>
      </w:r>
    </w:p>
    <w:p>
      <w:pPr>
        <w:pStyle w:val="Table Style 2"/>
        <w:numPr>
          <w:ilvl w:val="0"/>
          <w:numId w:val="1"/>
        </w:numPr>
        <w:rPr>
          <w:rFonts w:ascii="Publico Text Roman" w:hAnsi="Publico Text Roman"/>
          <w:sz w:val="22"/>
          <w:szCs w:val="22"/>
          <w:lang w:val="it-IT"/>
        </w:rPr>
      </w:pPr>
      <w:r>
        <w:rPr>
          <w:rFonts w:ascii="Publico Text Roman" w:hAnsi="Publico Text Roman"/>
          <w:sz w:val="22"/>
          <w:szCs w:val="22"/>
          <w:rtl w:val="0"/>
          <w:lang w:val="it-IT"/>
        </w:rPr>
        <w:t>Judicabit in nationibus</w:t>
      </w:r>
      <w:r>
        <w:rPr>
          <w:rFonts w:ascii="Publico Text Roman" w:hAnsi="Publico Text Roman"/>
          <w:sz w:val="22"/>
          <w:szCs w:val="22"/>
          <w:rtl w:val="0"/>
          <w:lang w:val="en-US"/>
        </w:rPr>
        <w:t>: learn p. 59, mm. 43-61</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Gloria Patri, et Filio: learn p. 81, mm. 81-110</w:t>
      </w:r>
    </w:p>
    <w:p>
      <w:pPr>
        <w:pStyle w:val="Table Style 2"/>
        <w:rPr>
          <w:rFonts w:ascii="Publico Text Roman" w:cs="Publico Text Roman" w:hAnsi="Publico Text Roman" w:eastAsia="Publico Text Roman"/>
          <w:b w:val="1"/>
          <w:bCs w:val="1"/>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Beatus vir</w:t>
      </w:r>
    </w:p>
    <w:p>
      <w:pPr>
        <w:pStyle w:val="Table Style 2"/>
        <w:numPr>
          <w:ilvl w:val="0"/>
          <w:numId w:val="3"/>
        </w:numPr>
        <w:rPr>
          <w:rFonts w:ascii="Publico Text Roman" w:hAnsi="Publico Text Roman"/>
          <w:sz w:val="22"/>
          <w:szCs w:val="22"/>
          <w:lang w:val="en-US"/>
        </w:rPr>
      </w:pPr>
      <w:r>
        <w:rPr>
          <w:rFonts w:ascii="Publico Text Roman" w:hAnsi="Publico Text Roman"/>
          <w:sz w:val="22"/>
          <w:szCs w:val="22"/>
          <w:rtl w:val="0"/>
          <w:lang w:val="en-US"/>
        </w:rPr>
        <w:t>learn p. 12, mm. 328-351</w:t>
      </w:r>
    </w:p>
    <w:p>
      <w:pPr>
        <w:pStyle w:val="Table Style 2"/>
        <w:rPr>
          <w:rFonts w:ascii="Publico Text Roman" w:cs="Publico Text Roman" w:hAnsi="Publico Text Roman" w:eastAsia="Publico Text Roman"/>
          <w:b w:val="1"/>
          <w:bCs w:val="1"/>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Magnificat</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Omnes generationes: learn p. 22, m. 21-end</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Fecit potentiam: learn p. 32, mm. 22-28</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Sicut locutus est: learn p. 46, m. 37-end</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Gloria Patri: learn p. 50, mm. 22-32</w:t>
      </w: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b w:val="1"/>
          <w:bCs w:val="1"/>
          <w:sz w:val="22"/>
          <w:szCs w:val="22"/>
          <w:u w:val="single"/>
        </w:rPr>
      </w:pPr>
      <w:r>
        <w:rPr>
          <w:rFonts w:ascii="Publico Text Roman" w:hAnsi="Publico Text Roman"/>
          <w:b w:val="1"/>
          <w:bCs w:val="1"/>
          <w:sz w:val="22"/>
          <w:szCs w:val="22"/>
          <w:u w:val="single"/>
          <w:rtl w:val="0"/>
          <w:lang w:val="en-US"/>
        </w:rPr>
        <w:t>Prior to September 18 rehearsal:</w:t>
      </w: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Dixit Dominus</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Dixit Dominus: learn p. 14, mm. 91-122</w:t>
      </w:r>
    </w:p>
    <w:p>
      <w:pPr>
        <w:pStyle w:val="Table Style 2"/>
        <w:numPr>
          <w:ilvl w:val="0"/>
          <w:numId w:val="1"/>
        </w:numPr>
        <w:rPr>
          <w:rFonts w:ascii="Publico Text Roman" w:hAnsi="Publico Text Roman"/>
          <w:sz w:val="22"/>
          <w:szCs w:val="22"/>
          <w:lang w:val="it-IT"/>
        </w:rPr>
      </w:pPr>
      <w:r>
        <w:rPr>
          <w:rFonts w:ascii="Publico Text Roman" w:hAnsi="Publico Text Roman"/>
          <w:sz w:val="22"/>
          <w:szCs w:val="22"/>
          <w:rtl w:val="0"/>
          <w:lang w:val="it-IT"/>
        </w:rPr>
        <w:t>Judicabit in nationibus</w:t>
      </w:r>
      <w:r>
        <w:rPr>
          <w:rFonts w:ascii="Publico Text Roman" w:hAnsi="Publico Text Roman"/>
          <w:sz w:val="22"/>
          <w:szCs w:val="22"/>
          <w:rtl w:val="0"/>
          <w:lang w:val="en-US"/>
        </w:rPr>
        <w:t>: learn p. 62, m. 62-end</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Gloria Patri, et Filio: learn p. 85, m. 110-end; review p. 69, mm. 1-54</w:t>
      </w:r>
    </w:p>
    <w:p>
      <w:pPr>
        <w:pStyle w:val="Table Style 2"/>
        <w:rPr>
          <w:rFonts w:ascii="Publico Text Roman" w:cs="Publico Text Roman" w:hAnsi="Publico Text Roman" w:eastAsia="Publico Text Roman"/>
          <w:b w:val="1"/>
          <w:bCs w:val="1"/>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Beatus vir</w:t>
      </w:r>
    </w:p>
    <w:p>
      <w:pPr>
        <w:pStyle w:val="Table Style 2"/>
        <w:numPr>
          <w:ilvl w:val="0"/>
          <w:numId w:val="3"/>
        </w:numPr>
        <w:rPr>
          <w:rFonts w:ascii="Publico Text Roman" w:hAnsi="Publico Text Roman"/>
          <w:sz w:val="22"/>
          <w:szCs w:val="22"/>
          <w:lang w:val="en-US"/>
        </w:rPr>
      </w:pPr>
      <w:r>
        <w:rPr>
          <w:rFonts w:ascii="Publico Text Roman" w:hAnsi="Publico Text Roman"/>
          <w:sz w:val="22"/>
          <w:szCs w:val="22"/>
          <w:rtl w:val="0"/>
          <w:lang w:val="en-US"/>
        </w:rPr>
        <w:t>learn p. 15, mm. 390-398</w:t>
      </w:r>
    </w:p>
    <w:p>
      <w:pPr>
        <w:pStyle w:val="Table Style 2"/>
        <w:rPr>
          <w:rFonts w:ascii="Publico Text Roman" w:cs="Publico Text Roman" w:hAnsi="Publico Text Roman" w:eastAsia="Publico Text Roman"/>
          <w:b w:val="1"/>
          <w:bCs w:val="1"/>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Magnificat</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Magnificat: review all (p. 5)</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Fecit potentiam: learn p. 34, m. 29-end</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Gloria Patri: learn p. 51, m. 33-end</w:t>
      </w: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b w:val="1"/>
          <w:bCs w:val="1"/>
          <w:sz w:val="22"/>
          <w:szCs w:val="22"/>
          <w:u w:val="single"/>
        </w:rPr>
      </w:pPr>
      <w:r>
        <w:rPr>
          <w:rFonts w:ascii="Publico Text Roman" w:hAnsi="Publico Text Roman"/>
          <w:b w:val="1"/>
          <w:bCs w:val="1"/>
          <w:sz w:val="22"/>
          <w:szCs w:val="22"/>
          <w:u w:val="single"/>
          <w:rtl w:val="0"/>
          <w:lang w:val="en-US"/>
        </w:rPr>
        <w:t>Prior to September 25 rehearsal:</w:t>
      </w: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Dixit Dominus</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Dixit Dominus: review p. 7, mm. 52-122</w:t>
      </w:r>
    </w:p>
    <w:p>
      <w:pPr>
        <w:pStyle w:val="Table Style 2"/>
        <w:numPr>
          <w:ilvl w:val="0"/>
          <w:numId w:val="1"/>
        </w:numPr>
        <w:rPr>
          <w:rFonts w:ascii="Publico Text Roman" w:hAnsi="Publico Text Roman"/>
          <w:sz w:val="22"/>
          <w:szCs w:val="22"/>
          <w:lang w:val="en-US"/>
        </w:rPr>
      </w:pPr>
      <w:r>
        <w:rPr>
          <w:rFonts w:ascii="Publico Text Roman" w:hAnsi="Publico Text Roman"/>
          <w:sz w:val="22"/>
          <w:szCs w:val="22"/>
          <w:rtl w:val="0"/>
          <w:lang w:val="en-US"/>
        </w:rPr>
        <w:t>Gloria Patri, et Filio: review p. 77, m. 55-end</w:t>
      </w: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Beatus vir</w:t>
      </w:r>
    </w:p>
    <w:p>
      <w:pPr>
        <w:pStyle w:val="Table Style 2"/>
        <w:numPr>
          <w:ilvl w:val="0"/>
          <w:numId w:val="3"/>
        </w:numPr>
        <w:rPr>
          <w:rFonts w:ascii="Publico Text Roman" w:hAnsi="Publico Text Roman"/>
          <w:sz w:val="22"/>
          <w:szCs w:val="22"/>
          <w:lang w:val="en-US"/>
        </w:rPr>
      </w:pPr>
      <w:r>
        <w:rPr>
          <w:rFonts w:ascii="Publico Text Roman" w:hAnsi="Publico Text Roman"/>
          <w:sz w:val="22"/>
          <w:szCs w:val="22"/>
          <w:rtl w:val="0"/>
          <w:lang w:val="en-US"/>
        </w:rPr>
        <w:t>learn p. 16, m. 406-end</w:t>
      </w:r>
    </w:p>
    <w:p>
      <w:pPr>
        <w:pStyle w:val="Table Style 2"/>
        <w:rPr>
          <w:rFonts w:ascii="Publico Text Roman" w:cs="Publico Text Roman" w:hAnsi="Publico Text Roman" w:eastAsia="Publico Text Roman"/>
          <w:sz w:val="22"/>
          <w:szCs w:val="22"/>
        </w:rPr>
      </w:pPr>
    </w:p>
    <w:p>
      <w:pPr>
        <w:pStyle w:val="Table Style 2"/>
        <w:rPr>
          <w:rFonts w:ascii="Publico Text Roman" w:cs="Publico Text Roman" w:hAnsi="Publico Text Roman" w:eastAsia="Publico Text Roman"/>
          <w:b w:val="1"/>
          <w:bCs w:val="1"/>
          <w:sz w:val="22"/>
          <w:szCs w:val="22"/>
        </w:rPr>
      </w:pPr>
      <w:r>
        <w:rPr>
          <w:rFonts w:ascii="Publico Text Roman" w:hAnsi="Publico Text Roman"/>
          <w:b w:val="1"/>
          <w:bCs w:val="1"/>
          <w:sz w:val="22"/>
          <w:szCs w:val="22"/>
          <w:rtl w:val="0"/>
          <w:lang w:val="en-US"/>
        </w:rPr>
        <w:t>Magnificat</w:t>
      </w:r>
    </w:p>
    <w:p>
      <w:pPr>
        <w:pStyle w:val="Table Style 2"/>
        <w:numPr>
          <w:ilvl w:val="0"/>
          <w:numId w:val="4"/>
        </w:numPr>
        <w:rPr>
          <w:rFonts w:ascii="Publico Text Roman" w:hAnsi="Publico Text Roman"/>
          <w:sz w:val="22"/>
          <w:szCs w:val="22"/>
          <w:lang w:val="en-US"/>
        </w:rPr>
      </w:pPr>
      <w:r>
        <w:rPr>
          <w:rFonts w:ascii="Publico Text Roman" w:hAnsi="Publico Text Roman"/>
          <w:sz w:val="22"/>
          <w:szCs w:val="22"/>
          <w:rtl w:val="0"/>
          <w:lang w:val="en-US"/>
        </w:rPr>
        <w:t>Gloria Patri: review all (p. 48)</w:t>
      </w:r>
    </w:p>
    <w:p>
      <w:pPr>
        <w:pStyle w:val="Table Style 2"/>
        <w:rPr>
          <w:rFonts w:ascii="Publico Text Roman" w:cs="Publico Text Roman" w:hAnsi="Publico Text Roman" w:eastAsia="Publico Text Roman"/>
          <w:sz w:val="22"/>
          <w:szCs w:val="22"/>
        </w:rPr>
      </w:pPr>
    </w:p>
    <w:p>
      <w:pPr>
        <w:pStyle w:val="Table Style 2"/>
        <w:rPr>
          <w:rStyle w:val="Red Bold"/>
          <w:rFonts w:ascii="Publico Text Roman" w:cs="Publico Text Roman" w:hAnsi="Publico Text Roman" w:eastAsia="Publico Text Roman"/>
          <w:sz w:val="22"/>
          <w:szCs w:val="22"/>
        </w:rPr>
      </w:pPr>
    </w:p>
    <w:p>
      <w:pPr>
        <w:pStyle w:val="Table Style 2"/>
      </w:pPr>
      <w:r>
        <w:rPr>
          <w:rFonts w:ascii="Publico Text Roman" w:hAnsi="Publico Text Roman"/>
          <w:b w:val="1"/>
          <w:bCs w:val="1"/>
          <w:sz w:val="22"/>
          <w:szCs w:val="22"/>
          <w:u w:val="single"/>
          <w:rtl w:val="0"/>
          <w:lang w:val="en-US"/>
        </w:rPr>
        <w:t xml:space="preserve">October 2: </w:t>
      </w:r>
      <w:r>
        <w:rPr>
          <w:rFonts w:ascii="Publico Text Roman" w:hAnsi="Publico Text Roman" w:hint="default"/>
          <w:b w:val="1"/>
          <w:bCs w:val="1"/>
          <w:sz w:val="22"/>
          <w:szCs w:val="22"/>
          <w:u w:val="single"/>
          <w:rtl w:val="0"/>
          <w:lang w:val="en-US"/>
        </w:rPr>
        <w:t>“</w:t>
      </w:r>
      <w:r>
        <w:rPr>
          <w:rFonts w:ascii="Publico Text Roman" w:hAnsi="Publico Text Roman"/>
          <w:b w:val="1"/>
          <w:bCs w:val="1"/>
          <w:sz w:val="22"/>
          <w:szCs w:val="22"/>
          <w:u w:val="single"/>
          <w:rtl w:val="0"/>
          <w:lang w:val="en-US"/>
        </w:rPr>
        <w:t>Midterm progress check</w:t>
      </w:r>
      <w:r>
        <w:rPr>
          <w:rFonts w:ascii="Publico Text Roman" w:hAnsi="Publico Text Roman" w:hint="default"/>
          <w:b w:val="1"/>
          <w:bCs w:val="1"/>
          <w:sz w:val="22"/>
          <w:szCs w:val="22"/>
          <w:u w:val="single"/>
          <w:rtl w:val="0"/>
          <w:lang w:val="en-US"/>
        </w:rPr>
        <w: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Garamond">
    <w:charset w:val="00"/>
    <w:family w:val="roman"/>
    <w:pitch w:val="default"/>
  </w:font>
  <w:font w:name="Publico Text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spacing w:line="216" w:lineRule="auto"/>
      <w:jc w:val="left"/>
    </w:pPr>
    <w:r>
      <w:rPr>
        <w:rFonts w:ascii="Publico Text Roman" w:hAnsi="Publico Text Roman"/>
        <w:sz w:val="16"/>
        <w:szCs w:val="16"/>
      </w:rPr>
      <w:tab/>
    </w:r>
    <w:r>
      <w:rPr>
        <w:rFonts w:ascii="Publico Text Roman" w:hAnsi="Publico Text Roman" w:hint="default"/>
        <w:sz w:val="16"/>
        <w:szCs w:val="16"/>
        <w:rtl w:val="0"/>
        <w:lang w:val="de-DE"/>
      </w:rPr>
      <w:t>©</w:t>
    </w:r>
    <w:r>
      <w:rPr>
        <w:rFonts w:ascii="Publico Text Roman" w:hAnsi="Publico Text Roman"/>
        <w:sz w:val="16"/>
        <w:szCs w:val="16"/>
        <w:rtl w:val="0"/>
      </w:rPr>
      <w:t xml:space="preserve"> </w:t>
    </w:r>
    <w:r>
      <w:rPr>
        <w:rFonts w:ascii="Publico Text Roman" w:hAnsi="Publico Text Roman"/>
        <w:sz w:val="16"/>
        <w:szCs w:val="16"/>
        <w:rtl w:val="0"/>
        <w:lang w:val="en-US"/>
      </w:rPr>
      <w:t xml:space="preserve">John C. Hughes, JCH Productions LLC. </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24" w:hanging="16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44" w:hanging="164"/>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64" w:hanging="16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84" w:hanging="164"/>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204" w:hanging="16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24" w:hanging="16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numStyleLink w:val="Bullet"/>
  </w:abstractNum>
  <w:abstractNum w:abstractNumId="2">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1"/>
  </w:num>
  <w:num w:numId="4">
    <w:abstractNumId w:val="1"/>
    <w:lvlOverride w:ilvl="0">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432ff"/>
      <w:u w:val="single"/>
      <w14:textFill>
        <w14:solidFill>
          <w14:srgbClr w14:val="0433FF"/>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Garamond" w:eastAsia="Arial Unicode MS"/>
      <w:b w:val="0"/>
      <w:bCs w:val="0"/>
      <w:i w:val="0"/>
      <w:iCs w:val="0"/>
      <w:caps w:val="0"/>
      <w:smallCaps w:val="0"/>
      <w:strike w:val="0"/>
      <w:dstrike w:val="0"/>
      <w:outline w:val="0"/>
      <w:color w:val="000000"/>
      <w:spacing w:val="0"/>
      <w:kern w:val="0"/>
      <w:position w:val="0"/>
      <w:sz w:val="26"/>
      <w:szCs w:val="26"/>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2"/>
      </w:numPr>
    </w:pPr>
  </w:style>
  <w:style w:type="character" w:styleId="Strikethrough">
    <w:name w:val="Strikethrough"/>
    <w:rPr>
      <w:strike w:val="1"/>
      <w:dstrike w:val="0"/>
    </w:rPr>
  </w:style>
  <w:style w:type="character" w:styleId="Red Bold">
    <w:name w:val="Red Bold"/>
    <w:rPr>
      <w:b w:val="1"/>
      <w:bCs w:val="1"/>
      <w:outline w:val="0"/>
      <w:color w:val="ee220c"/>
      <w14:textFill>
        <w14:solidFill>
          <w14:srgbClr w14:val="EE220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Garamond"/>
        <a:ea typeface="Garamond"/>
        <a:cs typeface="Garamond"/>
      </a:majorFont>
      <a:minorFont>
        <a:latin typeface="Garamond"/>
        <a:ea typeface="Garamond"/>
        <a:cs typeface="Garamond"/>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500" u="none" kumimoji="0" normalizeH="0">
            <a:ln>
              <a:noFill/>
            </a:ln>
            <a:solidFill>
              <a:srgbClr val="FFFFFF"/>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Garamond"/>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